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4B19" w:rsidRPr="00814B19" w:rsidRDefault="00814B19" w:rsidP="00814B19">
      <w:pPr>
        <w:shd w:val="clear" w:color="auto" w:fill="FFFFFF"/>
        <w:spacing w:after="0" w:line="240" w:lineRule="auto"/>
        <w:jc w:val="center"/>
        <w:outlineLvl w:val="0"/>
        <w:rPr>
          <w:rFonts w:ascii="Arial" w:eastAsia="Times New Roman" w:hAnsi="Arial" w:cs="Arial"/>
          <w:kern w:val="36"/>
          <w:sz w:val="28"/>
          <w:szCs w:val="28"/>
        </w:rPr>
      </w:pPr>
      <w:r w:rsidRPr="00814B19">
        <w:rPr>
          <w:rFonts w:ascii="Arial" w:eastAsia="Times New Roman" w:hAnsi="Arial" w:cs="Arial"/>
          <w:kern w:val="36"/>
          <w:sz w:val="28"/>
          <w:szCs w:val="28"/>
        </w:rPr>
        <w:t>Learning Resources</w:t>
      </w:r>
    </w:p>
    <w:p w:rsidR="00814B19" w:rsidRPr="00814B19" w:rsidRDefault="00814B19" w:rsidP="00814B19">
      <w:pPr>
        <w:shd w:val="clear" w:color="auto" w:fill="F8F8F8"/>
        <w:spacing w:after="100" w:line="240" w:lineRule="auto"/>
        <w:rPr>
          <w:rFonts w:ascii="inherit" w:eastAsia="Times New Roman" w:hAnsi="inherit" w:cs="Arial"/>
          <w:i/>
          <w:iCs/>
          <w:sz w:val="28"/>
          <w:szCs w:val="28"/>
        </w:rPr>
      </w:pPr>
      <w:r w:rsidRPr="00814B19">
        <w:rPr>
          <w:rFonts w:ascii="inherit" w:eastAsia="Times New Roman" w:hAnsi="inherit" w:cs="Arial"/>
          <w:b/>
          <w:bCs/>
          <w:i/>
          <w:iCs/>
          <w:sz w:val="28"/>
          <w:szCs w:val="28"/>
        </w:rPr>
        <w:t>Note:</w:t>
      </w:r>
      <w:r w:rsidRPr="00814B19">
        <w:rPr>
          <w:rFonts w:ascii="inherit" w:eastAsia="Times New Roman" w:hAnsi="inherit" w:cs="Arial"/>
          <w:i/>
          <w:iCs/>
          <w:sz w:val="28"/>
          <w:szCs w:val="28"/>
        </w:rPr>
        <w:t xml:space="preserve"> To access this week’s </w:t>
      </w:r>
      <w:r w:rsidRPr="00814B19">
        <w:rPr>
          <w:rFonts w:ascii="inherit" w:eastAsia="Times New Roman" w:hAnsi="inherit" w:cs="Arial"/>
          <w:i/>
          <w:iCs/>
          <w:noProof/>
          <w:sz w:val="28"/>
          <w:szCs w:val="28"/>
        </w:rPr>
        <w:t>required</w:t>
      </w:r>
      <w:r w:rsidRPr="00814B19">
        <w:rPr>
          <w:rFonts w:ascii="inherit" w:eastAsia="Times New Roman" w:hAnsi="inherit" w:cs="Arial"/>
          <w:i/>
          <w:iCs/>
          <w:sz w:val="28"/>
          <w:szCs w:val="28"/>
        </w:rPr>
        <w:t xml:space="preserve"> library resources, please click on the link to the Course Readings List, found in the </w:t>
      </w:r>
      <w:r w:rsidRPr="00814B19">
        <w:rPr>
          <w:rFonts w:ascii="inherit" w:eastAsia="Times New Roman" w:hAnsi="inherit" w:cs="Arial"/>
          <w:b/>
          <w:bCs/>
          <w:i/>
          <w:iCs/>
          <w:sz w:val="28"/>
          <w:szCs w:val="28"/>
        </w:rPr>
        <w:t>Course Materials</w:t>
      </w:r>
      <w:r w:rsidRPr="00814B19">
        <w:rPr>
          <w:rFonts w:ascii="inherit" w:eastAsia="Times New Roman" w:hAnsi="inherit" w:cs="Arial"/>
          <w:i/>
          <w:iCs/>
          <w:sz w:val="28"/>
          <w:szCs w:val="28"/>
        </w:rPr>
        <w:t xml:space="preserve"> section of </w:t>
      </w:r>
      <w:r w:rsidRPr="00814B19">
        <w:rPr>
          <w:rFonts w:ascii="inherit" w:eastAsia="Times New Roman" w:hAnsi="inherit" w:cs="Arial"/>
          <w:i/>
          <w:iCs/>
          <w:noProof/>
          <w:sz w:val="28"/>
          <w:szCs w:val="28"/>
        </w:rPr>
        <w:t>your</w:t>
      </w:r>
      <w:r w:rsidRPr="00814B19">
        <w:rPr>
          <w:rFonts w:ascii="inherit" w:eastAsia="Times New Roman" w:hAnsi="inherit" w:cs="Arial"/>
          <w:i/>
          <w:iCs/>
          <w:sz w:val="28"/>
          <w:szCs w:val="28"/>
        </w:rPr>
        <w:t xml:space="preserve"> Syllabus.</w:t>
      </w:r>
    </w:p>
    <w:p w:rsidR="00814B19" w:rsidRPr="00814B19" w:rsidRDefault="00814B19" w:rsidP="00814B19">
      <w:pPr>
        <w:shd w:val="clear" w:color="auto" w:fill="FFFFFF"/>
        <w:spacing w:after="0" w:line="240" w:lineRule="auto"/>
        <w:outlineLvl w:val="3"/>
        <w:rPr>
          <w:rFonts w:ascii="Arial" w:eastAsia="Times New Roman" w:hAnsi="Arial" w:cs="Arial"/>
          <w:sz w:val="28"/>
          <w:szCs w:val="28"/>
        </w:rPr>
      </w:pPr>
      <w:r w:rsidRPr="00814B19">
        <w:rPr>
          <w:rFonts w:ascii="Arial" w:eastAsia="Times New Roman" w:hAnsi="Arial" w:cs="Arial"/>
          <w:sz w:val="28"/>
          <w:szCs w:val="28"/>
        </w:rPr>
        <w:t>Required Readings</w:t>
      </w:r>
    </w:p>
    <w:p w:rsidR="00814B19" w:rsidRPr="00814B19" w:rsidRDefault="00814B19" w:rsidP="00814B19">
      <w:pPr>
        <w:spacing w:after="0" w:line="240" w:lineRule="auto"/>
        <w:rPr>
          <w:rFonts w:ascii="inherit" w:eastAsia="Times New Roman" w:hAnsi="inherit" w:cs="Arial"/>
          <w:sz w:val="28"/>
          <w:szCs w:val="28"/>
        </w:rPr>
      </w:pPr>
      <w:r w:rsidRPr="00814B19">
        <w:rPr>
          <w:rFonts w:ascii="inherit" w:eastAsia="Times New Roman" w:hAnsi="inherit" w:cs="Arial"/>
          <w:sz w:val="28"/>
          <w:szCs w:val="28"/>
        </w:rPr>
        <w:t xml:space="preserve">Wilkinson, R., &amp; Pickett, K. (2010). </w:t>
      </w:r>
      <w:r w:rsidRPr="00814B19">
        <w:rPr>
          <w:rFonts w:ascii="inherit" w:eastAsia="Times New Roman" w:hAnsi="inherit" w:cs="Arial"/>
          <w:i/>
          <w:iCs/>
          <w:sz w:val="28"/>
          <w:szCs w:val="28"/>
        </w:rPr>
        <w:t>The spirit level: Why greater equality makes societies stronger</w:t>
      </w:r>
      <w:r w:rsidRPr="00814B19">
        <w:rPr>
          <w:rFonts w:ascii="inherit" w:eastAsia="Times New Roman" w:hAnsi="inherit" w:cs="Arial"/>
          <w:sz w:val="28"/>
          <w:szCs w:val="28"/>
        </w:rPr>
        <w:t>. New York, NY: Bloomsbury Press.</w:t>
      </w:r>
    </w:p>
    <w:p w:rsidR="00814B19" w:rsidRPr="00814B19" w:rsidRDefault="00814B19" w:rsidP="00814B19">
      <w:pPr>
        <w:numPr>
          <w:ilvl w:val="0"/>
          <w:numId w:val="1"/>
        </w:numPr>
        <w:spacing w:after="0" w:line="240" w:lineRule="auto"/>
        <w:rPr>
          <w:rFonts w:ascii="inherit" w:eastAsia="Times New Roman" w:hAnsi="inherit" w:cs="Arial"/>
          <w:sz w:val="28"/>
          <w:szCs w:val="28"/>
        </w:rPr>
      </w:pPr>
      <w:r w:rsidRPr="00814B19">
        <w:rPr>
          <w:rFonts w:ascii="inherit" w:eastAsia="Times New Roman" w:hAnsi="inherit" w:cs="Arial"/>
          <w:sz w:val="28"/>
          <w:szCs w:val="28"/>
        </w:rPr>
        <w:t>Chapter 10, “Violence: Gaining Respect” (pp. 129–144)</w:t>
      </w:r>
    </w:p>
    <w:p w:rsidR="00814B19" w:rsidRPr="00814B19" w:rsidRDefault="00814B19" w:rsidP="00814B19">
      <w:pPr>
        <w:numPr>
          <w:ilvl w:val="0"/>
          <w:numId w:val="1"/>
        </w:numPr>
        <w:spacing w:after="100" w:line="240" w:lineRule="auto"/>
        <w:rPr>
          <w:rFonts w:ascii="inherit" w:eastAsia="Times New Roman" w:hAnsi="inherit" w:cs="Arial"/>
          <w:sz w:val="28"/>
          <w:szCs w:val="28"/>
        </w:rPr>
      </w:pPr>
      <w:r w:rsidRPr="00814B19">
        <w:rPr>
          <w:rFonts w:ascii="inherit" w:eastAsia="Times New Roman" w:hAnsi="inherit" w:cs="Arial"/>
          <w:sz w:val="28"/>
          <w:szCs w:val="28"/>
        </w:rPr>
        <w:t>Chapter 16, “Building the Future” (pp. 235–272)</w:t>
      </w:r>
    </w:p>
    <w:p w:rsidR="00814B19" w:rsidRPr="00814B19" w:rsidRDefault="00814B19" w:rsidP="00814B19">
      <w:pPr>
        <w:spacing w:after="0" w:line="240" w:lineRule="auto"/>
        <w:rPr>
          <w:rFonts w:ascii="inherit" w:eastAsia="Times New Roman" w:hAnsi="inherit" w:cs="Arial"/>
          <w:sz w:val="28"/>
          <w:szCs w:val="28"/>
        </w:rPr>
      </w:pPr>
      <w:r w:rsidRPr="00814B19">
        <w:rPr>
          <w:rFonts w:ascii="inherit" w:eastAsia="Times New Roman" w:hAnsi="inherit" w:cs="Arial"/>
          <w:sz w:val="28"/>
          <w:szCs w:val="28"/>
        </w:rPr>
        <w:t xml:space="preserve">Coovadia, H., Jewkes, R., Barron, P., Sanders, D., &amp; McIntyre, D. (2009). The health and health system of South Africa: Historical roots of current public health challenges. </w:t>
      </w:r>
      <w:r w:rsidRPr="00814B19">
        <w:rPr>
          <w:rFonts w:ascii="inherit" w:eastAsia="Times New Roman" w:hAnsi="inherit" w:cs="Arial"/>
          <w:i/>
          <w:iCs/>
          <w:sz w:val="28"/>
          <w:szCs w:val="28"/>
        </w:rPr>
        <w:t>Lancet, 374</w:t>
      </w:r>
      <w:r w:rsidRPr="00814B19">
        <w:rPr>
          <w:rFonts w:ascii="inherit" w:eastAsia="Times New Roman" w:hAnsi="inherit" w:cs="Arial"/>
          <w:sz w:val="28"/>
          <w:szCs w:val="28"/>
        </w:rPr>
        <w:t xml:space="preserve">(9692), 817–834. </w:t>
      </w:r>
    </w:p>
    <w:p w:rsidR="00814B19" w:rsidRPr="00814B19" w:rsidRDefault="00814B19" w:rsidP="00814B19">
      <w:pPr>
        <w:spacing w:after="100" w:line="240" w:lineRule="auto"/>
        <w:rPr>
          <w:rFonts w:ascii="inherit" w:eastAsia="Times New Roman" w:hAnsi="inherit" w:cs="Arial"/>
          <w:sz w:val="28"/>
          <w:szCs w:val="28"/>
        </w:rPr>
      </w:pPr>
      <w:r w:rsidRPr="00814B19">
        <w:rPr>
          <w:rFonts w:ascii="inherit" w:eastAsia="Times New Roman" w:hAnsi="inherit" w:cs="Arial"/>
          <w:b/>
          <w:bCs/>
          <w:sz w:val="28"/>
          <w:szCs w:val="28"/>
        </w:rPr>
        <w:t>Note:</w:t>
      </w:r>
      <w:r w:rsidRPr="00814B19">
        <w:rPr>
          <w:rFonts w:ascii="inherit" w:eastAsia="Times New Roman" w:hAnsi="inherit" w:cs="Arial"/>
          <w:sz w:val="28"/>
          <w:szCs w:val="28"/>
        </w:rPr>
        <w:t xml:space="preserve"> Retrieved from Walden Library databases.</w:t>
      </w:r>
    </w:p>
    <w:p w:rsidR="00814B19" w:rsidRPr="00814B19" w:rsidRDefault="00814B19" w:rsidP="00814B19">
      <w:pPr>
        <w:spacing w:after="0" w:line="240" w:lineRule="auto"/>
        <w:rPr>
          <w:rFonts w:ascii="inherit" w:eastAsia="Times New Roman" w:hAnsi="inherit" w:cs="Arial"/>
          <w:sz w:val="28"/>
          <w:szCs w:val="28"/>
        </w:rPr>
      </w:pPr>
      <w:r w:rsidRPr="00814B19">
        <w:rPr>
          <w:rFonts w:ascii="inherit" w:eastAsia="Times New Roman" w:hAnsi="inherit" w:cs="Arial"/>
          <w:sz w:val="28"/>
          <w:szCs w:val="28"/>
        </w:rPr>
        <w:t xml:space="preserve">Biggs, B., King, L., Basu, S., &amp; Stuckler, D. (2010). Is wealthier always healthier? The impact of national income level, inequality, and poverty on public health in Latin America. </w:t>
      </w:r>
      <w:r w:rsidRPr="00814B19">
        <w:rPr>
          <w:rFonts w:ascii="inherit" w:eastAsia="Times New Roman" w:hAnsi="inherit" w:cs="Arial"/>
          <w:i/>
          <w:iCs/>
          <w:sz w:val="28"/>
          <w:szCs w:val="28"/>
        </w:rPr>
        <w:t>Social Science &amp; Medicine, 71</w:t>
      </w:r>
      <w:r w:rsidRPr="00814B19">
        <w:rPr>
          <w:rFonts w:ascii="inherit" w:eastAsia="Times New Roman" w:hAnsi="inherit" w:cs="Arial"/>
          <w:sz w:val="28"/>
          <w:szCs w:val="28"/>
        </w:rPr>
        <w:t>(2), 266–273.</w:t>
      </w:r>
    </w:p>
    <w:p w:rsidR="00814B19" w:rsidRPr="00814B19" w:rsidRDefault="00814B19" w:rsidP="00814B19">
      <w:pPr>
        <w:spacing w:after="100" w:line="240" w:lineRule="auto"/>
        <w:rPr>
          <w:rFonts w:ascii="inherit" w:eastAsia="Times New Roman" w:hAnsi="inherit" w:cs="Arial"/>
          <w:sz w:val="28"/>
          <w:szCs w:val="28"/>
        </w:rPr>
      </w:pPr>
      <w:r w:rsidRPr="00814B19">
        <w:rPr>
          <w:rFonts w:ascii="inherit" w:eastAsia="Times New Roman" w:hAnsi="inherit" w:cs="Arial"/>
          <w:b/>
          <w:bCs/>
          <w:sz w:val="28"/>
          <w:szCs w:val="28"/>
        </w:rPr>
        <w:t>Note:</w:t>
      </w:r>
      <w:r w:rsidRPr="00814B19">
        <w:rPr>
          <w:rFonts w:ascii="inherit" w:eastAsia="Times New Roman" w:hAnsi="inherit" w:cs="Arial"/>
          <w:sz w:val="28"/>
          <w:szCs w:val="28"/>
        </w:rPr>
        <w:t xml:space="preserve"> Retrieved from Walden Library databases.</w:t>
      </w:r>
    </w:p>
    <w:p w:rsidR="00814B19" w:rsidRPr="00814B19" w:rsidRDefault="00814B19" w:rsidP="00814B19">
      <w:pPr>
        <w:spacing w:after="0" w:line="240" w:lineRule="auto"/>
        <w:rPr>
          <w:rFonts w:ascii="inherit" w:eastAsia="Times New Roman" w:hAnsi="inherit" w:cs="Arial"/>
          <w:sz w:val="28"/>
          <w:szCs w:val="28"/>
        </w:rPr>
      </w:pPr>
      <w:r w:rsidRPr="00814B19">
        <w:rPr>
          <w:rFonts w:ascii="inherit" w:eastAsia="Times New Roman" w:hAnsi="inherit" w:cs="Arial"/>
          <w:sz w:val="28"/>
          <w:szCs w:val="28"/>
        </w:rPr>
        <w:t xml:space="preserve">Kyobutungi, C., Egondi, T., &amp; Ezeh, A. (2010). The health and well-being of older people in Nairobi’s slums. </w:t>
      </w:r>
      <w:r w:rsidRPr="00814B19">
        <w:rPr>
          <w:rFonts w:ascii="inherit" w:eastAsia="Times New Roman" w:hAnsi="inherit" w:cs="Arial"/>
          <w:i/>
          <w:iCs/>
          <w:sz w:val="28"/>
          <w:szCs w:val="28"/>
        </w:rPr>
        <w:t>Global Health Action, 3</w:t>
      </w:r>
      <w:r w:rsidRPr="00814B19">
        <w:rPr>
          <w:rFonts w:ascii="inherit" w:eastAsia="Times New Roman" w:hAnsi="inherit" w:cs="Arial"/>
          <w:sz w:val="28"/>
          <w:szCs w:val="28"/>
        </w:rPr>
        <w:t xml:space="preserve">, 45–53. </w:t>
      </w:r>
    </w:p>
    <w:p w:rsidR="00814B19" w:rsidRPr="00814B19" w:rsidRDefault="00814B19" w:rsidP="00814B19">
      <w:pPr>
        <w:spacing w:after="100" w:line="240" w:lineRule="auto"/>
        <w:rPr>
          <w:rFonts w:ascii="inherit" w:eastAsia="Times New Roman" w:hAnsi="inherit" w:cs="Arial"/>
          <w:sz w:val="28"/>
          <w:szCs w:val="28"/>
        </w:rPr>
      </w:pPr>
      <w:r w:rsidRPr="00814B19">
        <w:rPr>
          <w:rFonts w:ascii="inherit" w:eastAsia="Times New Roman" w:hAnsi="inherit" w:cs="Arial"/>
          <w:b/>
          <w:bCs/>
          <w:sz w:val="28"/>
          <w:szCs w:val="28"/>
        </w:rPr>
        <w:t>Note:</w:t>
      </w:r>
      <w:r w:rsidRPr="00814B19">
        <w:rPr>
          <w:rFonts w:ascii="inherit" w:eastAsia="Times New Roman" w:hAnsi="inherit" w:cs="Arial"/>
          <w:sz w:val="28"/>
          <w:szCs w:val="28"/>
        </w:rPr>
        <w:t xml:space="preserve"> Retrieved from Walden Library databases.</w:t>
      </w:r>
    </w:p>
    <w:p w:rsidR="00814B19" w:rsidRPr="00814B19" w:rsidRDefault="00814B19" w:rsidP="00814B19">
      <w:pPr>
        <w:spacing w:after="0" w:line="240" w:lineRule="auto"/>
        <w:rPr>
          <w:rFonts w:ascii="inherit" w:eastAsia="Times New Roman" w:hAnsi="inherit" w:cs="Arial"/>
          <w:sz w:val="28"/>
          <w:szCs w:val="28"/>
        </w:rPr>
      </w:pPr>
      <w:r w:rsidRPr="00814B19">
        <w:rPr>
          <w:rFonts w:ascii="inherit" w:eastAsia="Times New Roman" w:hAnsi="inherit" w:cs="Arial"/>
          <w:sz w:val="28"/>
          <w:szCs w:val="28"/>
        </w:rPr>
        <w:t xml:space="preserve">Norman, R., Schneider, M., Bradshaw, D., Jewkes, R., Abrahams, N., Matzopoulos, R., &amp; Vos, T. (2010). Interpersonal violence: An </w:t>
      </w:r>
      <w:r w:rsidRPr="00814B19">
        <w:rPr>
          <w:rFonts w:ascii="inherit" w:eastAsia="Times New Roman" w:hAnsi="inherit" w:cs="Arial"/>
          <w:noProof/>
          <w:sz w:val="28"/>
          <w:szCs w:val="28"/>
        </w:rPr>
        <w:t>important</w:t>
      </w:r>
      <w:r w:rsidRPr="00814B19">
        <w:rPr>
          <w:rFonts w:ascii="inherit" w:eastAsia="Times New Roman" w:hAnsi="inherit" w:cs="Arial"/>
          <w:sz w:val="28"/>
          <w:szCs w:val="28"/>
        </w:rPr>
        <w:t xml:space="preserve"> risk factor for disease and injury in South Africa. </w:t>
      </w:r>
      <w:r w:rsidRPr="00814B19">
        <w:rPr>
          <w:rFonts w:ascii="inherit" w:eastAsia="Times New Roman" w:hAnsi="inherit" w:cs="Arial"/>
          <w:i/>
          <w:iCs/>
          <w:sz w:val="28"/>
          <w:szCs w:val="28"/>
        </w:rPr>
        <w:t>Population Health Metrics, 8</w:t>
      </w:r>
      <w:r w:rsidRPr="00814B19">
        <w:rPr>
          <w:rFonts w:ascii="inherit" w:eastAsia="Times New Roman" w:hAnsi="inherit" w:cs="Arial"/>
          <w:sz w:val="28"/>
          <w:szCs w:val="28"/>
        </w:rPr>
        <w:t>, 32–43.</w:t>
      </w:r>
    </w:p>
    <w:p w:rsidR="00814B19" w:rsidRPr="00814B19" w:rsidRDefault="00814B19" w:rsidP="00814B19">
      <w:pPr>
        <w:spacing w:after="100" w:line="240" w:lineRule="auto"/>
        <w:rPr>
          <w:rFonts w:ascii="inherit" w:eastAsia="Times New Roman" w:hAnsi="inherit" w:cs="Arial"/>
          <w:sz w:val="28"/>
          <w:szCs w:val="28"/>
        </w:rPr>
      </w:pPr>
      <w:r w:rsidRPr="00814B19">
        <w:rPr>
          <w:rFonts w:ascii="inherit" w:eastAsia="Times New Roman" w:hAnsi="inherit" w:cs="Arial"/>
          <w:b/>
          <w:bCs/>
          <w:sz w:val="28"/>
          <w:szCs w:val="28"/>
        </w:rPr>
        <w:t>Note:</w:t>
      </w:r>
      <w:r w:rsidRPr="00814B19">
        <w:rPr>
          <w:rFonts w:ascii="inherit" w:eastAsia="Times New Roman" w:hAnsi="inherit" w:cs="Arial"/>
          <w:sz w:val="28"/>
          <w:szCs w:val="28"/>
        </w:rPr>
        <w:t xml:space="preserve"> Retrieved from Walden Library databases.</w:t>
      </w:r>
    </w:p>
    <w:p w:rsidR="00814B19" w:rsidRPr="00814B19" w:rsidRDefault="00814B19" w:rsidP="00814B19">
      <w:pPr>
        <w:spacing w:after="0" w:line="240" w:lineRule="auto"/>
        <w:rPr>
          <w:rFonts w:ascii="inherit" w:eastAsia="Times New Roman" w:hAnsi="inherit" w:cs="Arial"/>
          <w:sz w:val="28"/>
          <w:szCs w:val="28"/>
        </w:rPr>
      </w:pPr>
      <w:r w:rsidRPr="00814B19">
        <w:rPr>
          <w:rFonts w:ascii="inherit" w:eastAsia="Times New Roman" w:hAnsi="inherit" w:cs="Arial"/>
          <w:sz w:val="28"/>
          <w:szCs w:val="28"/>
        </w:rPr>
        <w:t xml:space="preserve">Rudan, I., Kapiriri, L., Tomlinson, M., Balliet, M., Cohen, B., &amp; Chopra, M. (2010). Evidence-based priority setting for health care and research: Tools to support policy in maternal, neonatal, and child health in Africa. </w:t>
      </w:r>
      <w:r w:rsidRPr="00814B19">
        <w:rPr>
          <w:rFonts w:ascii="inherit" w:eastAsia="Times New Roman" w:hAnsi="inherit" w:cs="Arial"/>
          <w:i/>
          <w:iCs/>
          <w:sz w:val="28"/>
          <w:szCs w:val="28"/>
        </w:rPr>
        <w:t>PLoS Medicine, 7</w:t>
      </w:r>
      <w:r w:rsidRPr="00814B19">
        <w:rPr>
          <w:rFonts w:ascii="inherit" w:eastAsia="Times New Roman" w:hAnsi="inherit" w:cs="Arial"/>
          <w:sz w:val="28"/>
          <w:szCs w:val="28"/>
        </w:rPr>
        <w:t>(7), 1–5.</w:t>
      </w:r>
    </w:p>
    <w:p w:rsidR="00814B19" w:rsidRPr="00814B19" w:rsidRDefault="00814B19" w:rsidP="00814B19">
      <w:pPr>
        <w:spacing w:after="100" w:line="240" w:lineRule="auto"/>
        <w:rPr>
          <w:rFonts w:ascii="inherit" w:eastAsia="Times New Roman" w:hAnsi="inherit" w:cs="Arial"/>
          <w:sz w:val="28"/>
          <w:szCs w:val="28"/>
        </w:rPr>
      </w:pPr>
      <w:r w:rsidRPr="00814B19">
        <w:rPr>
          <w:rFonts w:ascii="inherit" w:eastAsia="Times New Roman" w:hAnsi="inherit" w:cs="Arial"/>
          <w:b/>
          <w:bCs/>
          <w:sz w:val="28"/>
          <w:szCs w:val="28"/>
        </w:rPr>
        <w:t>Note:</w:t>
      </w:r>
      <w:r w:rsidRPr="00814B19">
        <w:rPr>
          <w:rFonts w:ascii="inherit" w:eastAsia="Times New Roman" w:hAnsi="inherit" w:cs="Arial"/>
          <w:sz w:val="28"/>
          <w:szCs w:val="28"/>
        </w:rPr>
        <w:t xml:space="preserve"> Retrieved from Walden Library databases.</w:t>
      </w:r>
    </w:p>
    <w:p w:rsidR="00814B19" w:rsidRPr="00814B19" w:rsidRDefault="00814B19" w:rsidP="00814B19">
      <w:pPr>
        <w:spacing w:after="0" w:line="240" w:lineRule="auto"/>
        <w:rPr>
          <w:rFonts w:ascii="inherit" w:eastAsia="Times New Roman" w:hAnsi="inherit" w:cs="Arial"/>
          <w:sz w:val="28"/>
          <w:szCs w:val="28"/>
        </w:rPr>
      </w:pPr>
      <w:r w:rsidRPr="00814B19">
        <w:rPr>
          <w:rFonts w:ascii="inherit" w:eastAsia="Times New Roman" w:hAnsi="inherit" w:cs="Arial"/>
          <w:sz w:val="28"/>
          <w:szCs w:val="28"/>
        </w:rPr>
        <w:t xml:space="preserve">Shelton, J. D., Cassell, M. M., &amp; Adetunji, J. (2005). Is poverty or wealth at the root of HIV? </w:t>
      </w:r>
      <w:r w:rsidRPr="00814B19">
        <w:rPr>
          <w:rFonts w:ascii="inherit" w:eastAsia="Times New Roman" w:hAnsi="inherit" w:cs="Arial"/>
          <w:i/>
          <w:iCs/>
          <w:sz w:val="28"/>
          <w:szCs w:val="28"/>
        </w:rPr>
        <w:t>Lancet, 366</w:t>
      </w:r>
      <w:r w:rsidRPr="00814B19">
        <w:rPr>
          <w:rFonts w:ascii="inherit" w:eastAsia="Times New Roman" w:hAnsi="inherit" w:cs="Arial"/>
          <w:sz w:val="28"/>
          <w:szCs w:val="28"/>
        </w:rPr>
        <w:t>(9491), 1057–1058.</w:t>
      </w:r>
    </w:p>
    <w:p w:rsidR="00814B19" w:rsidRPr="00814B19" w:rsidRDefault="00814B19" w:rsidP="00814B19">
      <w:pPr>
        <w:spacing w:after="100" w:line="240" w:lineRule="auto"/>
        <w:rPr>
          <w:rFonts w:ascii="inherit" w:eastAsia="Times New Roman" w:hAnsi="inherit" w:cs="Arial"/>
          <w:sz w:val="28"/>
          <w:szCs w:val="28"/>
        </w:rPr>
      </w:pPr>
      <w:r w:rsidRPr="00814B19">
        <w:rPr>
          <w:rFonts w:ascii="inherit" w:eastAsia="Times New Roman" w:hAnsi="inherit" w:cs="Arial"/>
          <w:b/>
          <w:bCs/>
          <w:sz w:val="28"/>
          <w:szCs w:val="28"/>
        </w:rPr>
        <w:t>Note:</w:t>
      </w:r>
      <w:r w:rsidRPr="00814B19">
        <w:rPr>
          <w:rFonts w:ascii="inherit" w:eastAsia="Times New Roman" w:hAnsi="inherit" w:cs="Arial"/>
          <w:sz w:val="28"/>
          <w:szCs w:val="28"/>
        </w:rPr>
        <w:t xml:space="preserve"> Retrieved from Walden Library databases.</w:t>
      </w:r>
    </w:p>
    <w:p w:rsidR="00814B19" w:rsidRPr="00814B19" w:rsidRDefault="00814B19" w:rsidP="00814B19">
      <w:pPr>
        <w:spacing w:after="0" w:line="240" w:lineRule="auto"/>
        <w:rPr>
          <w:rFonts w:ascii="inherit" w:eastAsia="Times New Roman" w:hAnsi="inherit" w:cs="Arial"/>
          <w:sz w:val="28"/>
          <w:szCs w:val="28"/>
        </w:rPr>
      </w:pPr>
      <w:r w:rsidRPr="00814B19">
        <w:rPr>
          <w:rFonts w:ascii="inherit" w:eastAsia="Times New Roman" w:hAnsi="inherit" w:cs="Arial"/>
          <w:sz w:val="28"/>
          <w:szCs w:val="28"/>
        </w:rPr>
        <w:t xml:space="preserve">Spiegel, J. M., &amp; Yassi, A. (2004). Lessons from the margins of globalization: Appreciating the Cuban health paradox. </w:t>
      </w:r>
      <w:r w:rsidRPr="00814B19">
        <w:rPr>
          <w:rFonts w:ascii="inherit" w:eastAsia="Times New Roman" w:hAnsi="inherit" w:cs="Arial"/>
          <w:i/>
          <w:iCs/>
          <w:sz w:val="28"/>
          <w:szCs w:val="28"/>
        </w:rPr>
        <w:t>Journal of Public Health Policy, 25</w:t>
      </w:r>
      <w:r w:rsidRPr="00814B19">
        <w:rPr>
          <w:rFonts w:ascii="inherit" w:eastAsia="Times New Roman" w:hAnsi="inherit" w:cs="Arial"/>
          <w:sz w:val="28"/>
          <w:szCs w:val="28"/>
        </w:rPr>
        <w:t>(1), 85–110.</w:t>
      </w:r>
    </w:p>
    <w:p w:rsidR="00814B19" w:rsidRPr="00814B19" w:rsidRDefault="00814B19" w:rsidP="00814B19">
      <w:pPr>
        <w:spacing w:after="100" w:line="240" w:lineRule="auto"/>
        <w:rPr>
          <w:rFonts w:ascii="inherit" w:eastAsia="Times New Roman" w:hAnsi="inherit" w:cs="Arial"/>
          <w:sz w:val="28"/>
          <w:szCs w:val="28"/>
        </w:rPr>
      </w:pPr>
      <w:r w:rsidRPr="00814B19">
        <w:rPr>
          <w:rFonts w:ascii="inherit" w:eastAsia="Times New Roman" w:hAnsi="inherit" w:cs="Arial"/>
          <w:b/>
          <w:bCs/>
          <w:sz w:val="28"/>
          <w:szCs w:val="28"/>
        </w:rPr>
        <w:t>Note:</w:t>
      </w:r>
      <w:r w:rsidRPr="00814B19">
        <w:rPr>
          <w:rFonts w:ascii="inherit" w:eastAsia="Times New Roman" w:hAnsi="inherit" w:cs="Arial"/>
          <w:sz w:val="28"/>
          <w:szCs w:val="28"/>
        </w:rPr>
        <w:t xml:space="preserve"> Retrieved from Walden Library databases.</w:t>
      </w:r>
    </w:p>
    <w:p w:rsidR="00814B19" w:rsidRPr="00814B19" w:rsidRDefault="00814B19" w:rsidP="00814B19">
      <w:pPr>
        <w:spacing w:after="0" w:line="240" w:lineRule="auto"/>
        <w:rPr>
          <w:rFonts w:ascii="Arial" w:eastAsia="Times New Roman" w:hAnsi="Arial" w:cs="Times New Roman"/>
          <w:sz w:val="28"/>
          <w:szCs w:val="28"/>
          <w:shd w:val="clear" w:color="auto" w:fill="FFFFFF"/>
        </w:rPr>
      </w:pPr>
      <w:r w:rsidRPr="00814B19">
        <w:rPr>
          <w:rFonts w:ascii="Times New Roman" w:eastAsia="Times New Roman" w:hAnsi="Times New Roman" w:cs="Times New Roman"/>
          <w:sz w:val="28"/>
          <w:szCs w:val="28"/>
        </w:rPr>
        <w:lastRenderedPageBreak/>
        <w:fldChar w:fldCharType="begin"/>
      </w:r>
      <w:r w:rsidRPr="00814B19">
        <w:rPr>
          <w:rFonts w:ascii="Times New Roman" w:eastAsia="Times New Roman" w:hAnsi="Times New Roman" w:cs="Times New Roman"/>
          <w:sz w:val="28"/>
          <w:szCs w:val="28"/>
        </w:rPr>
        <w:instrText xml:space="preserve"> HYPERLINK "http://www.aphrc.org/" \o "African Population and Health Research Center" \t "_blank" </w:instrText>
      </w:r>
      <w:r w:rsidRPr="00814B19">
        <w:rPr>
          <w:rFonts w:ascii="Times New Roman" w:eastAsia="Times New Roman" w:hAnsi="Times New Roman" w:cs="Times New Roman"/>
          <w:sz w:val="28"/>
          <w:szCs w:val="28"/>
        </w:rPr>
        <w:fldChar w:fldCharType="separate"/>
      </w:r>
    </w:p>
    <w:p w:rsidR="00814B19" w:rsidRPr="00814B19" w:rsidRDefault="00814B19" w:rsidP="00814B19">
      <w:pPr>
        <w:spacing w:after="100" w:line="240" w:lineRule="auto"/>
        <w:rPr>
          <w:rFonts w:ascii="inherit" w:eastAsia="Times New Roman" w:hAnsi="inherit" w:cs="Times New Roman"/>
          <w:sz w:val="28"/>
          <w:szCs w:val="28"/>
        </w:rPr>
      </w:pPr>
      <w:r w:rsidRPr="00814B19">
        <w:rPr>
          <w:rFonts w:ascii="inherit" w:eastAsia="Times New Roman" w:hAnsi="inherit" w:cs="Arial"/>
          <w:sz w:val="28"/>
          <w:szCs w:val="28"/>
          <w:shd w:val="clear" w:color="auto" w:fill="FFFFFF"/>
        </w:rPr>
        <w:t xml:space="preserve">African Population and Health Research Center. (2011). Retrieved from http://www.aphrc.org/ </w:t>
      </w:r>
    </w:p>
    <w:p w:rsidR="00814B19" w:rsidRPr="00814B19" w:rsidRDefault="00814B19" w:rsidP="00814B19">
      <w:pPr>
        <w:spacing w:after="0" w:line="240" w:lineRule="auto"/>
        <w:rPr>
          <w:rFonts w:ascii="Arial" w:eastAsia="Times New Roman" w:hAnsi="Arial" w:cs="Times New Roman"/>
          <w:sz w:val="28"/>
          <w:szCs w:val="28"/>
        </w:rPr>
      </w:pPr>
      <w:r w:rsidRPr="00814B19">
        <w:rPr>
          <w:rFonts w:ascii="Times New Roman" w:eastAsia="Times New Roman" w:hAnsi="Times New Roman" w:cs="Times New Roman"/>
          <w:sz w:val="28"/>
          <w:szCs w:val="28"/>
        </w:rPr>
        <w:fldChar w:fldCharType="end"/>
      </w:r>
      <w:r w:rsidRPr="00814B19">
        <w:rPr>
          <w:rFonts w:ascii="Times New Roman" w:eastAsia="Times New Roman" w:hAnsi="Times New Roman" w:cs="Times New Roman"/>
          <w:sz w:val="28"/>
          <w:szCs w:val="28"/>
        </w:rPr>
        <w:fldChar w:fldCharType="begin"/>
      </w:r>
      <w:r w:rsidRPr="00814B19">
        <w:rPr>
          <w:rFonts w:ascii="Times New Roman" w:eastAsia="Times New Roman" w:hAnsi="Times New Roman" w:cs="Times New Roman"/>
          <w:sz w:val="28"/>
          <w:szCs w:val="28"/>
        </w:rPr>
        <w:instrText xml:space="preserve"> HYPERLINK "http://new.paho.org/" \o "Pan American Health Organization" \t "_blank" </w:instrText>
      </w:r>
      <w:r w:rsidRPr="00814B19">
        <w:rPr>
          <w:rFonts w:ascii="Times New Roman" w:eastAsia="Times New Roman" w:hAnsi="Times New Roman" w:cs="Times New Roman"/>
          <w:sz w:val="28"/>
          <w:szCs w:val="28"/>
        </w:rPr>
        <w:fldChar w:fldCharType="separate"/>
      </w:r>
    </w:p>
    <w:p w:rsidR="00814B19" w:rsidRPr="00814B19" w:rsidRDefault="00814B19" w:rsidP="00814B19">
      <w:pPr>
        <w:spacing w:after="100" w:line="240" w:lineRule="auto"/>
        <w:rPr>
          <w:rFonts w:ascii="inherit" w:eastAsia="Times New Roman" w:hAnsi="inherit" w:cs="Times New Roman"/>
          <w:sz w:val="28"/>
          <w:szCs w:val="28"/>
        </w:rPr>
      </w:pPr>
      <w:r w:rsidRPr="00814B19">
        <w:rPr>
          <w:rFonts w:ascii="inherit" w:eastAsia="Times New Roman" w:hAnsi="inherit" w:cs="Arial"/>
          <w:sz w:val="28"/>
          <w:szCs w:val="28"/>
          <w:shd w:val="clear" w:color="auto" w:fill="FFFFFF"/>
        </w:rPr>
        <w:t xml:space="preserve">Pan American Health Organization. (n.d.). Retrieved February 13, 2014, from http://new.paho.org/ </w:t>
      </w:r>
    </w:p>
    <w:p w:rsidR="00814B19" w:rsidRPr="00814B19" w:rsidRDefault="00814B19" w:rsidP="00814B19">
      <w:pPr>
        <w:spacing w:after="0" w:line="240" w:lineRule="auto"/>
        <w:rPr>
          <w:rFonts w:ascii="Arial" w:eastAsia="Times New Roman" w:hAnsi="Arial" w:cs="Times New Roman"/>
          <w:sz w:val="28"/>
          <w:szCs w:val="28"/>
          <w:shd w:val="clear" w:color="auto" w:fill="A5E2F9"/>
        </w:rPr>
      </w:pPr>
      <w:r w:rsidRPr="00814B19">
        <w:rPr>
          <w:rFonts w:ascii="Times New Roman" w:eastAsia="Times New Roman" w:hAnsi="Times New Roman" w:cs="Times New Roman"/>
          <w:sz w:val="28"/>
          <w:szCs w:val="28"/>
        </w:rPr>
        <w:fldChar w:fldCharType="end"/>
      </w:r>
      <w:r w:rsidRPr="00814B19">
        <w:rPr>
          <w:rFonts w:ascii="Times New Roman" w:eastAsia="Times New Roman" w:hAnsi="Times New Roman" w:cs="Times New Roman"/>
          <w:sz w:val="28"/>
          <w:szCs w:val="28"/>
        </w:rPr>
        <w:fldChar w:fldCharType="begin"/>
      </w:r>
      <w:r w:rsidRPr="00814B19">
        <w:rPr>
          <w:rFonts w:ascii="Times New Roman" w:eastAsia="Times New Roman" w:hAnsi="Times New Roman" w:cs="Times New Roman"/>
          <w:sz w:val="28"/>
          <w:szCs w:val="28"/>
        </w:rPr>
        <w:instrText xml:space="preserve"> HYPERLINK "http://data.worldbank.org/country" \o "The World Bank" \t "_blank" </w:instrText>
      </w:r>
      <w:r w:rsidRPr="00814B19">
        <w:rPr>
          <w:rFonts w:ascii="Times New Roman" w:eastAsia="Times New Roman" w:hAnsi="Times New Roman" w:cs="Times New Roman"/>
          <w:sz w:val="28"/>
          <w:szCs w:val="28"/>
        </w:rPr>
        <w:fldChar w:fldCharType="separate"/>
      </w:r>
    </w:p>
    <w:p w:rsidR="00814B19" w:rsidRPr="00814B19" w:rsidRDefault="00814B19" w:rsidP="00814B19">
      <w:pPr>
        <w:spacing w:after="100" w:line="240" w:lineRule="auto"/>
        <w:rPr>
          <w:rFonts w:ascii="inherit" w:eastAsia="Times New Roman" w:hAnsi="inherit" w:cs="Times New Roman"/>
          <w:sz w:val="28"/>
          <w:szCs w:val="28"/>
        </w:rPr>
      </w:pPr>
      <w:r w:rsidRPr="00814B19">
        <w:rPr>
          <w:rFonts w:ascii="inherit" w:eastAsia="Times New Roman" w:hAnsi="inherit" w:cs="Arial"/>
          <w:sz w:val="28"/>
          <w:szCs w:val="28"/>
          <w:shd w:val="clear" w:color="auto" w:fill="A5E2F9"/>
        </w:rPr>
        <w:t xml:space="preserve">The World Bank. (2014). Countries and economies. Retrieved from http://data.worldbank.org/country </w:t>
      </w:r>
    </w:p>
    <w:p w:rsidR="00814B19" w:rsidRDefault="00814B19" w:rsidP="00814B19">
      <w:pPr>
        <w:rPr>
          <w:rFonts w:ascii="Times New Roman" w:eastAsia="Times New Roman" w:hAnsi="Times New Roman" w:cs="Times New Roman"/>
          <w:sz w:val="28"/>
          <w:szCs w:val="28"/>
        </w:rPr>
      </w:pPr>
      <w:r w:rsidRPr="00814B19">
        <w:rPr>
          <w:rFonts w:ascii="Times New Roman" w:eastAsia="Times New Roman" w:hAnsi="Times New Roman" w:cs="Times New Roman"/>
          <w:sz w:val="28"/>
          <w:szCs w:val="28"/>
        </w:rPr>
        <w:fldChar w:fldCharType="end"/>
      </w:r>
    </w:p>
    <w:p w:rsidR="00814B19" w:rsidRPr="00814B19" w:rsidRDefault="00814B19" w:rsidP="00814B19">
      <w:pPr>
        <w:shd w:val="clear" w:color="auto" w:fill="FFFFFF"/>
        <w:spacing w:after="0" w:line="240" w:lineRule="auto"/>
        <w:jc w:val="center"/>
        <w:outlineLvl w:val="0"/>
        <w:rPr>
          <w:rFonts w:ascii="Arial" w:eastAsia="Times New Roman" w:hAnsi="Arial" w:cs="Arial"/>
          <w:color w:val="785432"/>
          <w:kern w:val="36"/>
          <w:sz w:val="48"/>
          <w:szCs w:val="48"/>
        </w:rPr>
      </w:pPr>
      <w:r w:rsidRPr="00814B19">
        <w:rPr>
          <w:rFonts w:ascii="Arial" w:eastAsia="Times New Roman" w:hAnsi="Arial" w:cs="Arial"/>
          <w:color w:val="785432"/>
          <w:kern w:val="36"/>
          <w:sz w:val="48"/>
          <w:szCs w:val="48"/>
        </w:rPr>
        <w:t>Discussion: Is Wealthier Healthier?</w:t>
      </w:r>
    </w:p>
    <w:p w:rsidR="00814B19" w:rsidRPr="00814B19" w:rsidRDefault="00814B19" w:rsidP="00814B19">
      <w:pPr>
        <w:shd w:val="clear" w:color="auto" w:fill="FFFFFF"/>
        <w:spacing w:after="0" w:line="240" w:lineRule="auto"/>
        <w:rPr>
          <w:rFonts w:ascii="Arial" w:eastAsia="Times New Roman" w:hAnsi="Arial" w:cs="Arial"/>
          <w:color w:val="000000"/>
          <w:sz w:val="24"/>
          <w:szCs w:val="24"/>
        </w:rPr>
      </w:pPr>
      <w:r w:rsidRPr="00814B19">
        <w:rPr>
          <w:rFonts w:ascii="Arial" w:eastAsia="Times New Roman" w:hAnsi="Arial" w:cs="Arial"/>
          <w:color w:val="000000"/>
          <w:sz w:val="24"/>
          <w:szCs w:val="24"/>
        </w:rPr>
        <w:t>African nations tend not to have lower health outcomes, experiencing epidemics of infectious and non-communicable diseases across the continent. There is substantial health inequality among and within many nations in Africa. Similar disparities in health also exist in Latin America. Cuba, Costa Rica, and Chile have health outcomes comparable to the United States, while Haiti’s health outcomes are comparable to the less healthy parts of Africa.</w:t>
      </w:r>
    </w:p>
    <w:p w:rsidR="00814B19" w:rsidRPr="00814B19" w:rsidRDefault="00814B19" w:rsidP="00814B19">
      <w:pPr>
        <w:shd w:val="clear" w:color="auto" w:fill="FFFFFF"/>
        <w:spacing w:after="0" w:line="240" w:lineRule="auto"/>
        <w:rPr>
          <w:rFonts w:ascii="Arial" w:eastAsia="Times New Roman" w:hAnsi="Arial" w:cs="Arial"/>
          <w:color w:val="000000"/>
          <w:sz w:val="24"/>
          <w:szCs w:val="24"/>
        </w:rPr>
      </w:pPr>
      <w:r w:rsidRPr="00814B19">
        <w:rPr>
          <w:rFonts w:ascii="Arial" w:eastAsia="Times New Roman" w:hAnsi="Arial" w:cs="Arial"/>
          <w:color w:val="000000"/>
          <w:sz w:val="24"/>
          <w:szCs w:val="24"/>
        </w:rPr>
        <w:t xml:space="preserve">A variety of arguments can </w:t>
      </w:r>
      <w:r w:rsidRPr="00814B19">
        <w:rPr>
          <w:rFonts w:ascii="Arial" w:eastAsia="Times New Roman" w:hAnsi="Arial" w:cs="Arial"/>
          <w:noProof/>
          <w:color w:val="000000"/>
          <w:sz w:val="24"/>
          <w:szCs w:val="24"/>
          <w:u w:val="thick" w:color="28B473"/>
        </w:rPr>
        <w:t>be made</w:t>
      </w:r>
      <w:r w:rsidRPr="00814B19">
        <w:rPr>
          <w:rFonts w:ascii="Arial" w:eastAsia="Times New Roman" w:hAnsi="Arial" w:cs="Arial"/>
          <w:color w:val="000000"/>
          <w:sz w:val="24"/>
          <w:szCs w:val="24"/>
        </w:rPr>
        <w:t xml:space="preserve"> for the reasons why there is </w:t>
      </w:r>
      <w:r w:rsidRPr="00814B19">
        <w:rPr>
          <w:rFonts w:ascii="Arial" w:eastAsia="Times New Roman" w:hAnsi="Arial" w:cs="Arial"/>
          <w:noProof/>
          <w:color w:val="000000"/>
          <w:sz w:val="24"/>
          <w:szCs w:val="24"/>
          <w:u w:val="thick" w:color="28B473"/>
        </w:rPr>
        <w:t>great</w:t>
      </w:r>
      <w:r w:rsidRPr="00814B19">
        <w:rPr>
          <w:rFonts w:ascii="Arial" w:eastAsia="Times New Roman" w:hAnsi="Arial" w:cs="Arial"/>
          <w:color w:val="000000"/>
          <w:sz w:val="24"/>
          <w:szCs w:val="24"/>
        </w:rPr>
        <w:t xml:space="preserve"> health inequity in these regions. Some relate to the different colonial histories since health is transmitted inter-generationally. Colonization, neoliberal globalization, including </w:t>
      </w:r>
      <w:r w:rsidRPr="00814B19">
        <w:rPr>
          <w:rFonts w:ascii="Arial" w:eastAsia="Times New Roman" w:hAnsi="Arial" w:cs="Arial"/>
          <w:noProof/>
          <w:color w:val="000000"/>
          <w:sz w:val="24"/>
          <w:szCs w:val="24"/>
          <w:u w:val="thick" w:color="28B473"/>
        </w:rPr>
        <w:t>free</w:t>
      </w:r>
      <w:r w:rsidRPr="00814B19">
        <w:rPr>
          <w:rFonts w:ascii="Arial" w:eastAsia="Times New Roman" w:hAnsi="Arial" w:cs="Arial"/>
          <w:color w:val="000000"/>
          <w:sz w:val="24"/>
          <w:szCs w:val="24"/>
        </w:rPr>
        <w:t xml:space="preserve"> market, free trade, and the unrestricted flow of capital with little government influence, has resulted in </w:t>
      </w:r>
      <w:r w:rsidRPr="00814B19">
        <w:rPr>
          <w:rFonts w:ascii="Arial" w:eastAsia="Times New Roman" w:hAnsi="Arial" w:cs="Arial"/>
          <w:noProof/>
          <w:color w:val="000000"/>
          <w:sz w:val="24"/>
          <w:szCs w:val="24"/>
          <w:u w:val="thick" w:color="28B473"/>
        </w:rPr>
        <w:t>large</w:t>
      </w:r>
      <w:r w:rsidRPr="00814B19">
        <w:rPr>
          <w:rFonts w:ascii="Arial" w:eastAsia="Times New Roman" w:hAnsi="Arial" w:cs="Arial"/>
          <w:color w:val="000000"/>
          <w:sz w:val="24"/>
          <w:szCs w:val="24"/>
        </w:rPr>
        <w:t xml:space="preserve"> wealth inequalities. Some countries have cut their government spending on health programs, which has led to devastating health outcomes.</w:t>
      </w:r>
    </w:p>
    <w:p w:rsidR="00814B19" w:rsidRPr="00814B19" w:rsidRDefault="00814B19" w:rsidP="00814B19">
      <w:pPr>
        <w:shd w:val="clear" w:color="auto" w:fill="FFFFFF"/>
        <w:spacing w:after="0" w:line="240" w:lineRule="auto"/>
        <w:rPr>
          <w:rFonts w:ascii="Arial" w:eastAsia="Times New Roman" w:hAnsi="Arial" w:cs="Arial"/>
          <w:color w:val="000000"/>
          <w:sz w:val="24"/>
          <w:szCs w:val="24"/>
        </w:rPr>
      </w:pPr>
      <w:r w:rsidRPr="00814B19">
        <w:rPr>
          <w:rFonts w:ascii="Arial" w:eastAsia="Times New Roman" w:hAnsi="Arial" w:cs="Arial"/>
          <w:color w:val="000000"/>
          <w:sz w:val="24"/>
          <w:szCs w:val="24"/>
        </w:rPr>
        <w:t>For this Discussion, examine countries and their health problems.</w:t>
      </w:r>
    </w:p>
    <w:p w:rsidR="00814B19" w:rsidRPr="00814B19" w:rsidRDefault="00814B19" w:rsidP="00814B19">
      <w:pPr>
        <w:shd w:val="clear" w:color="auto" w:fill="FFFFFF"/>
        <w:spacing w:after="0" w:line="240" w:lineRule="auto"/>
        <w:rPr>
          <w:rFonts w:ascii="Arial" w:eastAsia="Times New Roman" w:hAnsi="Arial" w:cs="Arial"/>
          <w:color w:val="000000"/>
          <w:sz w:val="24"/>
          <w:szCs w:val="24"/>
        </w:rPr>
      </w:pPr>
      <w:r w:rsidRPr="00814B19">
        <w:rPr>
          <w:rFonts w:ascii="Arial" w:eastAsia="Times New Roman" w:hAnsi="Arial" w:cs="Arial"/>
          <w:b/>
          <w:bCs/>
          <w:color w:val="000000"/>
          <w:sz w:val="24"/>
          <w:szCs w:val="24"/>
        </w:rPr>
        <w:t>To prepare</w:t>
      </w:r>
      <w:r w:rsidRPr="00814B19">
        <w:rPr>
          <w:rFonts w:ascii="Arial" w:eastAsia="Times New Roman" w:hAnsi="Arial" w:cs="Arial"/>
          <w:color w:val="000000"/>
          <w:sz w:val="24"/>
          <w:szCs w:val="24"/>
        </w:rPr>
        <w:t> for this Discussion, review Week 10 and Week 11 Learning Resources. Select </w:t>
      </w:r>
      <w:r w:rsidRPr="00814B19">
        <w:rPr>
          <w:rFonts w:ascii="Arial" w:eastAsia="Times New Roman" w:hAnsi="Arial" w:cs="Arial"/>
          <w:b/>
          <w:bCs/>
          <w:color w:val="000000"/>
          <w:sz w:val="24"/>
          <w:szCs w:val="24"/>
        </w:rPr>
        <w:t>two</w:t>
      </w:r>
      <w:r w:rsidRPr="00814B19">
        <w:rPr>
          <w:rFonts w:ascii="Arial" w:eastAsia="Times New Roman" w:hAnsi="Arial" w:cs="Arial"/>
          <w:color w:val="000000"/>
          <w:sz w:val="24"/>
          <w:szCs w:val="24"/>
        </w:rPr>
        <w:t xml:space="preserve"> countries with different per-capita income levels such that one could </w:t>
      </w:r>
      <w:r w:rsidRPr="00814B19">
        <w:rPr>
          <w:rFonts w:ascii="Arial" w:eastAsia="Times New Roman" w:hAnsi="Arial" w:cs="Arial"/>
          <w:noProof/>
          <w:color w:val="000000"/>
          <w:sz w:val="24"/>
          <w:szCs w:val="24"/>
          <w:u w:val="thick" w:color="28B473"/>
        </w:rPr>
        <w:t>be classified</w:t>
      </w:r>
      <w:r w:rsidRPr="00814B19">
        <w:rPr>
          <w:rFonts w:ascii="Arial" w:eastAsia="Times New Roman" w:hAnsi="Arial" w:cs="Arial"/>
          <w:color w:val="000000"/>
          <w:sz w:val="24"/>
          <w:szCs w:val="24"/>
        </w:rPr>
        <w:t xml:space="preserve"> as a “high income” nation and the other would not </w:t>
      </w:r>
      <w:r w:rsidRPr="00814B19">
        <w:rPr>
          <w:rFonts w:ascii="Arial" w:eastAsia="Times New Roman" w:hAnsi="Arial" w:cs="Arial"/>
          <w:noProof/>
          <w:color w:val="000000"/>
          <w:sz w:val="24"/>
          <w:szCs w:val="24"/>
          <w:u w:val="thick" w:color="28B473"/>
        </w:rPr>
        <w:t>be classified</w:t>
      </w:r>
      <w:r w:rsidRPr="00814B19">
        <w:rPr>
          <w:rFonts w:ascii="Arial" w:eastAsia="Times New Roman" w:hAnsi="Arial" w:cs="Arial"/>
          <w:color w:val="000000"/>
          <w:sz w:val="24"/>
          <w:szCs w:val="24"/>
        </w:rPr>
        <w:t xml:space="preserve"> in the same income category. </w:t>
      </w:r>
      <w:r w:rsidRPr="00814B19">
        <w:rPr>
          <w:rFonts w:ascii="Arial" w:eastAsia="Times New Roman" w:hAnsi="Arial" w:cs="Arial"/>
          <w:b/>
          <w:bCs/>
          <w:color w:val="000000"/>
          <w:sz w:val="24"/>
          <w:szCs w:val="24"/>
        </w:rPr>
        <w:t>Note:</w:t>
      </w:r>
      <w:r w:rsidRPr="00814B19">
        <w:rPr>
          <w:rFonts w:ascii="Arial" w:eastAsia="Times New Roman" w:hAnsi="Arial" w:cs="Arial"/>
          <w:color w:val="000000"/>
          <w:sz w:val="24"/>
          <w:szCs w:val="24"/>
        </w:rPr>
        <w:t> </w:t>
      </w:r>
      <w:r w:rsidRPr="00814B19">
        <w:rPr>
          <w:rFonts w:ascii="Arial" w:eastAsia="Times New Roman" w:hAnsi="Arial" w:cs="Arial"/>
          <w:noProof/>
          <w:color w:val="000000"/>
          <w:sz w:val="24"/>
          <w:szCs w:val="24"/>
          <w:u w:val="thick" w:color="28B473"/>
        </w:rPr>
        <w:t>You</w:t>
      </w:r>
      <w:r w:rsidRPr="00814B19">
        <w:rPr>
          <w:rFonts w:ascii="Arial" w:eastAsia="Times New Roman" w:hAnsi="Arial" w:cs="Arial"/>
          <w:color w:val="000000"/>
          <w:sz w:val="24"/>
          <w:szCs w:val="24"/>
        </w:rPr>
        <w:t xml:space="preserve"> may use The World Bank website in </w:t>
      </w:r>
      <w:r w:rsidRPr="00814B19">
        <w:rPr>
          <w:rFonts w:ascii="Arial" w:eastAsia="Times New Roman" w:hAnsi="Arial" w:cs="Arial"/>
          <w:noProof/>
          <w:color w:val="000000"/>
          <w:sz w:val="24"/>
          <w:szCs w:val="24"/>
          <w:u w:val="thick" w:color="28B473"/>
        </w:rPr>
        <w:t>your</w:t>
      </w:r>
      <w:r w:rsidRPr="00814B19">
        <w:rPr>
          <w:rFonts w:ascii="Arial" w:eastAsia="Times New Roman" w:hAnsi="Arial" w:cs="Arial"/>
          <w:color w:val="000000"/>
          <w:sz w:val="24"/>
          <w:szCs w:val="24"/>
        </w:rPr>
        <w:t xml:space="preserve"> Learning Resources to identify countries and their income levels.</w:t>
      </w:r>
    </w:p>
    <w:p w:rsidR="00814B19" w:rsidRDefault="00814B19" w:rsidP="00814B19">
      <w:bookmarkStart w:id="0" w:name="_GoBack"/>
      <w:bookmarkEnd w:id="0"/>
    </w:p>
    <w:sectPr w:rsidR="00814B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F1E68"/>
    <w:multiLevelType w:val="multilevel"/>
    <w:tmpl w:val="7FAE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2tDAwMbYwMjIzMbNU0lEKTi0uzszPAykwrAUAqqyX5ywAAAA="/>
  </w:docVars>
  <w:rsids>
    <w:rsidRoot w:val="00814B19"/>
    <w:rsid w:val="00814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326A2"/>
  <w15:chartTrackingRefBased/>
  <w15:docId w15:val="{7DA97CC8-6E12-4907-B85D-F5E9DCF2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466036">
      <w:bodyDiv w:val="1"/>
      <w:marLeft w:val="0"/>
      <w:marRight w:val="0"/>
      <w:marTop w:val="0"/>
      <w:marBottom w:val="0"/>
      <w:divBdr>
        <w:top w:val="none" w:sz="0" w:space="0" w:color="auto"/>
        <w:left w:val="none" w:sz="0" w:space="0" w:color="auto"/>
        <w:bottom w:val="none" w:sz="0" w:space="0" w:color="auto"/>
        <w:right w:val="none" w:sz="0" w:space="0" w:color="auto"/>
      </w:divBdr>
    </w:div>
    <w:div w:id="1864855327">
      <w:bodyDiv w:val="1"/>
      <w:marLeft w:val="0"/>
      <w:marRight w:val="0"/>
      <w:marTop w:val="0"/>
      <w:marBottom w:val="0"/>
      <w:divBdr>
        <w:top w:val="none" w:sz="0" w:space="0" w:color="auto"/>
        <w:left w:val="none" w:sz="0" w:space="0" w:color="auto"/>
        <w:bottom w:val="none" w:sz="0" w:space="0" w:color="auto"/>
        <w:right w:val="none" w:sz="0" w:space="0" w:color="auto"/>
      </w:divBdr>
      <w:divsChild>
        <w:div w:id="1241216836">
          <w:blockQuote w:val="1"/>
          <w:marLeft w:val="720"/>
          <w:marRight w:val="720"/>
          <w:marTop w:val="100"/>
          <w:marBottom w:val="100"/>
          <w:divBdr>
            <w:top w:val="none" w:sz="0" w:space="0" w:color="auto"/>
            <w:left w:val="none" w:sz="0" w:space="0" w:color="auto"/>
            <w:bottom w:val="none" w:sz="0" w:space="0" w:color="auto"/>
            <w:right w:val="none" w:sz="0" w:space="0" w:color="auto"/>
          </w:divBdr>
        </w:div>
        <w:div w:id="59625529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1701485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09566144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07423272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37095065">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42568492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74779827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45471226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034161138">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5420877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32339051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Learning Resources</vt:lpstr>
      <vt:lpstr>Discussion: Is Wealthier Healthier?</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monee sherman</dc:creator>
  <cp:keywords/>
  <dc:description/>
  <cp:lastModifiedBy>monee sherman</cp:lastModifiedBy>
  <cp:revision>1</cp:revision>
  <dcterms:created xsi:type="dcterms:W3CDTF">2018-07-07T00:47:00Z</dcterms:created>
  <dcterms:modified xsi:type="dcterms:W3CDTF">2018-07-07T00:49:00Z</dcterms:modified>
</cp:coreProperties>
</file>